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E4B174" w14:textId="77777777" w:rsidR="00DE05FF" w:rsidRDefault="00DE05FF" w:rsidP="00DE05FF">
      <w:pPr>
        <w:spacing w:line="480" w:lineRule="auto"/>
        <w:ind w:firstLine="720"/>
        <w:jc w:val="center"/>
        <w:rPr>
          <w:rFonts w:ascii="Times New Roman" w:hAnsi="Times New Roman" w:cs="Times New Roman"/>
          <w:sz w:val="24"/>
          <w:szCs w:val="24"/>
        </w:rPr>
      </w:pPr>
      <w:bookmarkStart w:id="0" w:name="_GoBack"/>
      <w:bookmarkEnd w:id="0"/>
    </w:p>
    <w:p w14:paraId="5C787657" w14:textId="77777777" w:rsidR="00DE05FF" w:rsidRDefault="00DE05FF" w:rsidP="00DE05FF">
      <w:pPr>
        <w:spacing w:line="480" w:lineRule="auto"/>
        <w:ind w:firstLine="720"/>
        <w:jc w:val="center"/>
        <w:rPr>
          <w:rFonts w:ascii="Times New Roman" w:hAnsi="Times New Roman" w:cs="Times New Roman"/>
          <w:sz w:val="24"/>
          <w:szCs w:val="24"/>
        </w:rPr>
      </w:pPr>
    </w:p>
    <w:p w14:paraId="1460CF02" w14:textId="77777777" w:rsidR="00DE05FF" w:rsidRDefault="00507E84" w:rsidP="00DE05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HIPAA Violations</w:t>
      </w:r>
    </w:p>
    <w:p w14:paraId="60F24CAD" w14:textId="77777777" w:rsidR="00DE05FF" w:rsidRPr="00DE05FF" w:rsidRDefault="00507E84" w:rsidP="00DE05FF">
      <w:pPr>
        <w:spacing w:line="480" w:lineRule="auto"/>
        <w:ind w:firstLine="720"/>
        <w:jc w:val="center"/>
        <w:rPr>
          <w:rFonts w:ascii="Times New Roman" w:hAnsi="Times New Roman" w:cs="Times New Roman"/>
          <w:sz w:val="24"/>
          <w:szCs w:val="24"/>
        </w:rPr>
      </w:pPr>
      <w:r w:rsidRPr="00DE05FF">
        <w:rPr>
          <w:rFonts w:ascii="Times New Roman" w:hAnsi="Times New Roman" w:cs="Times New Roman"/>
          <w:sz w:val="24"/>
          <w:szCs w:val="24"/>
        </w:rPr>
        <w:t>Student’s name</w:t>
      </w:r>
    </w:p>
    <w:p w14:paraId="4A747797" w14:textId="77777777" w:rsidR="00DE05FF" w:rsidRPr="00DE05FF" w:rsidRDefault="00507E84" w:rsidP="00DE05FF">
      <w:pPr>
        <w:spacing w:line="480" w:lineRule="auto"/>
        <w:ind w:firstLine="720"/>
        <w:jc w:val="center"/>
        <w:rPr>
          <w:rFonts w:ascii="Times New Roman" w:hAnsi="Times New Roman" w:cs="Times New Roman"/>
          <w:sz w:val="24"/>
          <w:szCs w:val="24"/>
        </w:rPr>
      </w:pPr>
      <w:r w:rsidRPr="00DE05FF">
        <w:rPr>
          <w:rFonts w:ascii="Times New Roman" w:hAnsi="Times New Roman" w:cs="Times New Roman"/>
          <w:sz w:val="24"/>
          <w:szCs w:val="24"/>
        </w:rPr>
        <w:t>Institutional affiliation</w:t>
      </w:r>
    </w:p>
    <w:p w14:paraId="711CC786" w14:textId="77777777" w:rsidR="00DE05FF" w:rsidRPr="00DE05FF" w:rsidRDefault="00507E84" w:rsidP="00DE05FF">
      <w:pPr>
        <w:spacing w:line="480" w:lineRule="auto"/>
        <w:ind w:firstLine="720"/>
        <w:jc w:val="center"/>
        <w:rPr>
          <w:rFonts w:ascii="Times New Roman" w:hAnsi="Times New Roman" w:cs="Times New Roman"/>
          <w:sz w:val="24"/>
          <w:szCs w:val="24"/>
        </w:rPr>
      </w:pPr>
      <w:r w:rsidRPr="00DE05FF">
        <w:rPr>
          <w:rFonts w:ascii="Times New Roman" w:hAnsi="Times New Roman" w:cs="Times New Roman"/>
          <w:sz w:val="24"/>
          <w:szCs w:val="24"/>
        </w:rPr>
        <w:t>Course-name</w:t>
      </w:r>
    </w:p>
    <w:p w14:paraId="781F608E" w14:textId="77777777" w:rsidR="00DE05FF" w:rsidRPr="00DE05FF" w:rsidRDefault="00507E84" w:rsidP="00DE05FF">
      <w:pPr>
        <w:spacing w:line="480" w:lineRule="auto"/>
        <w:ind w:firstLine="720"/>
        <w:jc w:val="center"/>
        <w:rPr>
          <w:rFonts w:ascii="Times New Roman" w:hAnsi="Times New Roman" w:cs="Times New Roman"/>
          <w:sz w:val="24"/>
          <w:szCs w:val="24"/>
        </w:rPr>
      </w:pPr>
      <w:r w:rsidRPr="00DE05FF">
        <w:rPr>
          <w:rFonts w:ascii="Times New Roman" w:hAnsi="Times New Roman" w:cs="Times New Roman"/>
          <w:sz w:val="24"/>
          <w:szCs w:val="24"/>
        </w:rPr>
        <w:t>Course number</w:t>
      </w:r>
    </w:p>
    <w:p w14:paraId="66C8119C" w14:textId="77777777" w:rsidR="00DE05FF" w:rsidRPr="00DE05FF" w:rsidRDefault="00507E84" w:rsidP="00DE05FF">
      <w:pPr>
        <w:spacing w:line="480" w:lineRule="auto"/>
        <w:ind w:firstLine="720"/>
        <w:jc w:val="center"/>
        <w:rPr>
          <w:rFonts w:ascii="Times New Roman" w:hAnsi="Times New Roman" w:cs="Times New Roman"/>
          <w:sz w:val="24"/>
          <w:szCs w:val="24"/>
        </w:rPr>
      </w:pPr>
      <w:r w:rsidRPr="00DE05FF">
        <w:rPr>
          <w:rFonts w:ascii="Times New Roman" w:hAnsi="Times New Roman" w:cs="Times New Roman"/>
          <w:sz w:val="24"/>
          <w:szCs w:val="24"/>
        </w:rPr>
        <w:t>Date of submission</w:t>
      </w:r>
    </w:p>
    <w:p w14:paraId="24586869" w14:textId="77777777" w:rsidR="00DE05FF" w:rsidRDefault="00DE05FF" w:rsidP="00DE05FF">
      <w:pPr>
        <w:spacing w:line="480" w:lineRule="auto"/>
        <w:ind w:firstLine="720"/>
        <w:rPr>
          <w:rFonts w:ascii="Times New Roman" w:hAnsi="Times New Roman" w:cs="Times New Roman"/>
          <w:sz w:val="24"/>
          <w:szCs w:val="24"/>
        </w:rPr>
      </w:pPr>
    </w:p>
    <w:p w14:paraId="6EAA5CB5" w14:textId="77777777" w:rsidR="00DE05FF" w:rsidRDefault="00DE05FF" w:rsidP="00DE05FF">
      <w:pPr>
        <w:spacing w:line="480" w:lineRule="auto"/>
        <w:ind w:firstLine="720"/>
        <w:rPr>
          <w:rFonts w:ascii="Times New Roman" w:hAnsi="Times New Roman" w:cs="Times New Roman"/>
          <w:sz w:val="24"/>
          <w:szCs w:val="24"/>
        </w:rPr>
      </w:pPr>
    </w:p>
    <w:p w14:paraId="18B3806C" w14:textId="77777777" w:rsidR="00DE05FF" w:rsidRDefault="00DE05FF" w:rsidP="00DE05FF">
      <w:pPr>
        <w:spacing w:line="480" w:lineRule="auto"/>
        <w:ind w:firstLine="720"/>
        <w:rPr>
          <w:rFonts w:ascii="Times New Roman" w:hAnsi="Times New Roman" w:cs="Times New Roman"/>
          <w:sz w:val="24"/>
          <w:szCs w:val="24"/>
        </w:rPr>
      </w:pPr>
    </w:p>
    <w:p w14:paraId="39525BAB" w14:textId="77777777" w:rsidR="00DE05FF" w:rsidRDefault="00DE05FF" w:rsidP="00DE05FF">
      <w:pPr>
        <w:spacing w:line="480" w:lineRule="auto"/>
        <w:ind w:firstLine="720"/>
        <w:rPr>
          <w:rFonts w:ascii="Times New Roman" w:hAnsi="Times New Roman" w:cs="Times New Roman"/>
          <w:sz w:val="24"/>
          <w:szCs w:val="24"/>
        </w:rPr>
      </w:pPr>
    </w:p>
    <w:p w14:paraId="27937DF3" w14:textId="77777777" w:rsidR="00DE05FF" w:rsidRDefault="00DE05FF" w:rsidP="00DE05FF">
      <w:pPr>
        <w:spacing w:line="480" w:lineRule="auto"/>
        <w:ind w:firstLine="720"/>
        <w:rPr>
          <w:rFonts w:ascii="Times New Roman" w:hAnsi="Times New Roman" w:cs="Times New Roman"/>
          <w:sz w:val="24"/>
          <w:szCs w:val="24"/>
        </w:rPr>
      </w:pPr>
    </w:p>
    <w:p w14:paraId="60538A0C" w14:textId="77777777" w:rsidR="00DE05FF" w:rsidRDefault="00DE05FF" w:rsidP="00DE05FF">
      <w:pPr>
        <w:spacing w:line="480" w:lineRule="auto"/>
        <w:ind w:firstLine="720"/>
        <w:rPr>
          <w:rFonts w:ascii="Times New Roman" w:hAnsi="Times New Roman" w:cs="Times New Roman"/>
          <w:sz w:val="24"/>
          <w:szCs w:val="24"/>
        </w:rPr>
      </w:pPr>
    </w:p>
    <w:p w14:paraId="7FE3E617" w14:textId="77777777" w:rsidR="00DE05FF" w:rsidRDefault="00DE05FF" w:rsidP="00DE05FF">
      <w:pPr>
        <w:spacing w:line="480" w:lineRule="auto"/>
        <w:ind w:firstLine="720"/>
        <w:rPr>
          <w:rFonts w:ascii="Times New Roman" w:hAnsi="Times New Roman" w:cs="Times New Roman"/>
          <w:sz w:val="24"/>
          <w:szCs w:val="24"/>
        </w:rPr>
      </w:pPr>
    </w:p>
    <w:p w14:paraId="64FF0A99" w14:textId="77777777" w:rsidR="00DE05FF" w:rsidRDefault="00DE05FF" w:rsidP="00DE05FF">
      <w:pPr>
        <w:spacing w:line="480" w:lineRule="auto"/>
        <w:ind w:firstLine="720"/>
        <w:rPr>
          <w:rFonts w:ascii="Times New Roman" w:hAnsi="Times New Roman" w:cs="Times New Roman"/>
          <w:sz w:val="24"/>
          <w:szCs w:val="24"/>
        </w:rPr>
      </w:pPr>
    </w:p>
    <w:p w14:paraId="27466E5E" w14:textId="77777777" w:rsidR="00DE05FF" w:rsidRDefault="00DE05FF" w:rsidP="00DE05FF">
      <w:pPr>
        <w:spacing w:line="480" w:lineRule="auto"/>
        <w:rPr>
          <w:rFonts w:ascii="Times New Roman" w:hAnsi="Times New Roman" w:cs="Times New Roman"/>
          <w:sz w:val="24"/>
          <w:szCs w:val="24"/>
        </w:rPr>
      </w:pPr>
    </w:p>
    <w:p w14:paraId="5404DD5F" w14:textId="74E622E8" w:rsidR="002C002D" w:rsidRDefault="00507E84" w:rsidP="00DE05F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00717B32">
        <w:rPr>
          <w:rFonts w:ascii="Times New Roman" w:hAnsi="Times New Roman" w:cs="Times New Roman"/>
          <w:sz w:val="24"/>
          <w:szCs w:val="24"/>
        </w:rPr>
        <w:t xml:space="preserve">Cannon </w:t>
      </w:r>
      <w:r w:rsidR="00717B32" w:rsidRPr="00717B32">
        <w:rPr>
          <w:rFonts w:ascii="Times New Roman" w:hAnsi="Times New Roman" w:cs="Times New Roman"/>
          <w:sz w:val="24"/>
          <w:szCs w:val="24"/>
        </w:rPr>
        <w:t xml:space="preserve">&amp; </w:t>
      </w:r>
      <w:r w:rsidR="00717B32">
        <w:rPr>
          <w:rFonts w:ascii="Times New Roman" w:hAnsi="Times New Roman" w:cs="Times New Roman"/>
          <w:sz w:val="24"/>
          <w:szCs w:val="24"/>
        </w:rPr>
        <w:t>Caldwell 2016, n</w:t>
      </w:r>
      <w:r w:rsidR="00543C8D" w:rsidRPr="00DE05FF">
        <w:rPr>
          <w:rFonts w:ascii="Times New Roman" w:hAnsi="Times New Roman" w:cs="Times New Roman"/>
          <w:sz w:val="24"/>
          <w:szCs w:val="24"/>
        </w:rPr>
        <w:t>ursing students commit complex Health Insurance Portability and Accountability (HIPAA) violations. This is because it happens during the process of learning</w:t>
      </w:r>
      <w:r w:rsidR="002C4881" w:rsidRPr="00DE05FF">
        <w:rPr>
          <w:rFonts w:ascii="Times New Roman" w:hAnsi="Times New Roman" w:cs="Times New Roman"/>
          <w:sz w:val="24"/>
          <w:szCs w:val="24"/>
        </w:rPr>
        <w:t xml:space="preserve"> and may involve various variables such as responsibilities of the clinical facility, accountability, and role of nurse educators of the clinical facility. Health consumers expect their information to be kept secret and held sacred by the providers caring for them. The </w:t>
      </w:r>
      <w:r w:rsidR="00EE1368" w:rsidRPr="00DE05FF">
        <w:rPr>
          <w:rFonts w:ascii="Times New Roman" w:hAnsi="Times New Roman" w:cs="Times New Roman"/>
          <w:sz w:val="24"/>
          <w:szCs w:val="24"/>
        </w:rPr>
        <w:t>law grants protections and rights to the patients, not only basing on their health information but also on how it is exchanged under certain situations</w:t>
      </w:r>
      <w:r w:rsidR="00717B32" w:rsidRPr="00717B32">
        <w:rPr>
          <w:rFonts w:ascii="Times New Roman" w:hAnsi="Times New Roman" w:cs="Times New Roman"/>
          <w:sz w:val="24"/>
          <w:szCs w:val="24"/>
        </w:rPr>
        <w:t xml:space="preserve"> </w:t>
      </w:r>
      <w:r w:rsidR="00717B32">
        <w:rPr>
          <w:rFonts w:ascii="Times New Roman" w:hAnsi="Times New Roman" w:cs="Times New Roman"/>
          <w:sz w:val="24"/>
          <w:szCs w:val="24"/>
        </w:rPr>
        <w:t>(</w:t>
      </w:r>
      <w:r w:rsidR="00717B32" w:rsidRPr="00717B32">
        <w:rPr>
          <w:rFonts w:ascii="Times New Roman" w:hAnsi="Times New Roman" w:cs="Times New Roman"/>
          <w:sz w:val="24"/>
          <w:szCs w:val="24"/>
        </w:rPr>
        <w:t>Cannon &amp; Caldwell 2016</w:t>
      </w:r>
      <w:r w:rsidR="00717B32">
        <w:rPr>
          <w:rFonts w:ascii="Times New Roman" w:hAnsi="Times New Roman" w:cs="Times New Roman"/>
          <w:sz w:val="24"/>
          <w:szCs w:val="24"/>
        </w:rPr>
        <w:t>)</w:t>
      </w:r>
      <w:r w:rsidR="00EE1368" w:rsidRPr="00DE05FF">
        <w:rPr>
          <w:rFonts w:ascii="Times New Roman" w:hAnsi="Times New Roman" w:cs="Times New Roman"/>
          <w:sz w:val="24"/>
          <w:szCs w:val="24"/>
        </w:rPr>
        <w:t xml:space="preserve">. The protections, rights, and conditions are contained within the regulations, guidelines, and rules of the law. Nursing students subjects to the requirements of HIPAA and have an ethical and professional obligation in maintaining patient's confidentiality. Nursing students, nursing faculty, nursing education programs, nursing preceptors, and clinical agencies </w:t>
      </w:r>
      <w:r w:rsidR="00977389" w:rsidRPr="00DE05FF">
        <w:rPr>
          <w:rFonts w:ascii="Times New Roman" w:hAnsi="Times New Roman" w:cs="Times New Roman"/>
          <w:sz w:val="24"/>
          <w:szCs w:val="24"/>
        </w:rPr>
        <w:t>play critical roles in HIPAA privacy rule compliance. However, due to the issues of nursing clinical education complexity, violations committed by the students while learning must be considered carefully</w:t>
      </w:r>
      <w:r w:rsidR="00717B32" w:rsidRPr="00717B32">
        <w:rPr>
          <w:rFonts w:ascii="Times New Roman" w:hAnsi="Times New Roman" w:cs="Times New Roman"/>
          <w:sz w:val="24"/>
          <w:szCs w:val="24"/>
        </w:rPr>
        <w:t xml:space="preserve"> </w:t>
      </w:r>
      <w:bookmarkStart w:id="1" w:name="_Hlk52563046"/>
      <w:r w:rsidR="00717B32">
        <w:rPr>
          <w:rFonts w:ascii="Times New Roman" w:hAnsi="Times New Roman" w:cs="Times New Roman"/>
          <w:sz w:val="24"/>
          <w:szCs w:val="24"/>
        </w:rPr>
        <w:t>(</w:t>
      </w:r>
      <w:r w:rsidR="00717B32" w:rsidRPr="00717B32">
        <w:rPr>
          <w:rFonts w:ascii="Times New Roman" w:hAnsi="Times New Roman" w:cs="Times New Roman"/>
          <w:sz w:val="24"/>
          <w:szCs w:val="24"/>
        </w:rPr>
        <w:t>Cannon &amp; Caldwell 2016</w:t>
      </w:r>
      <w:r w:rsidR="00CE2DD2">
        <w:rPr>
          <w:rFonts w:ascii="Times New Roman" w:hAnsi="Times New Roman" w:cs="Times New Roman"/>
          <w:sz w:val="24"/>
          <w:szCs w:val="24"/>
        </w:rPr>
        <w:t>)</w:t>
      </w:r>
      <w:r w:rsidR="00977389" w:rsidRPr="00DE05FF">
        <w:rPr>
          <w:rFonts w:ascii="Times New Roman" w:hAnsi="Times New Roman" w:cs="Times New Roman"/>
          <w:sz w:val="24"/>
          <w:szCs w:val="24"/>
        </w:rPr>
        <w:t>.</w:t>
      </w:r>
    </w:p>
    <w:bookmarkEnd w:id="1"/>
    <w:p w14:paraId="379D59D5" w14:textId="127B7C12" w:rsidR="00C76908" w:rsidRPr="00DE05FF" w:rsidRDefault="00507E84" w:rsidP="00C76908">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Medical students should strictly adhere to the HIPAA rules and, at any given time, violate them whenever in the clinical duties in the affiliated clinics and hospitals. The compliance with the HIPAA rules incorporates electronic health and paper records confidentiality maintenance as well as the patient’s confidentiality.</w:t>
      </w:r>
      <w:r w:rsidR="000541F5">
        <w:rPr>
          <w:rFonts w:ascii="Times New Roman" w:hAnsi="Times New Roman" w:cs="Times New Roman"/>
          <w:sz w:val="24"/>
          <w:szCs w:val="24"/>
        </w:rPr>
        <w:t xml:space="preserve"> If the violations by the health student are noticed by either the clinic or the hospital or even by the office of the physician, they are reviewed in a more in-depth perspective by the board responsible, which later makes recommendations consisting of possible expulsion or withdrawal</w:t>
      </w:r>
      <w:r>
        <w:rPr>
          <w:rFonts w:ascii="Times New Roman" w:hAnsi="Times New Roman" w:cs="Times New Roman"/>
          <w:sz w:val="24"/>
          <w:szCs w:val="24"/>
        </w:rPr>
        <w:t xml:space="preserve"> </w:t>
      </w:r>
      <w:r w:rsidRPr="00C76908">
        <w:rPr>
          <w:rFonts w:ascii="Times New Roman" w:hAnsi="Times New Roman" w:cs="Times New Roman"/>
          <w:sz w:val="24"/>
          <w:szCs w:val="24"/>
        </w:rPr>
        <w:t>(Cannon &amp; Caldwell 2016).</w:t>
      </w:r>
    </w:p>
    <w:p w14:paraId="59AD5B74" w14:textId="16C4B0AB" w:rsidR="00ED5B6D" w:rsidRDefault="00507E84" w:rsidP="00DE05FF">
      <w:pPr>
        <w:spacing w:line="480" w:lineRule="auto"/>
        <w:ind w:firstLine="720"/>
        <w:rPr>
          <w:rFonts w:ascii="Times New Roman" w:hAnsi="Times New Roman" w:cs="Times New Roman"/>
          <w:sz w:val="24"/>
          <w:szCs w:val="24"/>
        </w:rPr>
      </w:pPr>
      <w:r w:rsidRPr="00DE05FF">
        <w:rPr>
          <w:rFonts w:ascii="Times New Roman" w:hAnsi="Times New Roman" w:cs="Times New Roman"/>
          <w:sz w:val="24"/>
          <w:szCs w:val="24"/>
        </w:rPr>
        <w:t xml:space="preserve">When </w:t>
      </w:r>
      <w:r w:rsidR="00281836" w:rsidRPr="00DE05FF">
        <w:rPr>
          <w:rFonts w:ascii="Times New Roman" w:hAnsi="Times New Roman" w:cs="Times New Roman"/>
          <w:sz w:val="24"/>
          <w:szCs w:val="24"/>
        </w:rPr>
        <w:t>taking the electric health records adoption into acco</w:t>
      </w:r>
      <w:r w:rsidR="00E403EB">
        <w:rPr>
          <w:rFonts w:ascii="Times New Roman" w:hAnsi="Times New Roman" w:cs="Times New Roman"/>
          <w:sz w:val="24"/>
          <w:szCs w:val="24"/>
        </w:rPr>
        <w:t>unt, patients’ privacy and</w:t>
      </w:r>
      <w:r w:rsidR="00281836" w:rsidRPr="00DE05FF">
        <w:rPr>
          <w:rFonts w:ascii="Times New Roman" w:hAnsi="Times New Roman" w:cs="Times New Roman"/>
          <w:sz w:val="24"/>
          <w:szCs w:val="24"/>
        </w:rPr>
        <w:t xml:space="preserve"> information secu</w:t>
      </w:r>
      <w:r w:rsidR="00E403EB">
        <w:rPr>
          <w:rFonts w:ascii="Times New Roman" w:hAnsi="Times New Roman" w:cs="Times New Roman"/>
          <w:sz w:val="24"/>
          <w:szCs w:val="24"/>
        </w:rPr>
        <w:t>rity is the most</w:t>
      </w:r>
      <w:r w:rsidR="00CD7F64" w:rsidRPr="00DE05FF">
        <w:rPr>
          <w:rFonts w:ascii="Times New Roman" w:hAnsi="Times New Roman" w:cs="Times New Roman"/>
          <w:sz w:val="24"/>
          <w:szCs w:val="24"/>
        </w:rPr>
        <w:t xml:space="preserve"> hi</w:t>
      </w:r>
      <w:r w:rsidR="00E403EB">
        <w:rPr>
          <w:rFonts w:ascii="Times New Roman" w:hAnsi="Times New Roman" w:cs="Times New Roman"/>
          <w:sz w:val="24"/>
          <w:szCs w:val="24"/>
        </w:rPr>
        <w:t>ndrance</w:t>
      </w:r>
      <w:r w:rsidR="00281836" w:rsidRPr="00DE05FF">
        <w:rPr>
          <w:rFonts w:ascii="Times New Roman" w:hAnsi="Times New Roman" w:cs="Times New Roman"/>
          <w:sz w:val="24"/>
          <w:szCs w:val="24"/>
        </w:rPr>
        <w:t>. An electric health record (EHR)</w:t>
      </w:r>
      <w:r w:rsidR="00E403EB">
        <w:rPr>
          <w:rFonts w:ascii="Times New Roman" w:hAnsi="Times New Roman" w:cs="Times New Roman"/>
          <w:sz w:val="24"/>
          <w:szCs w:val="24"/>
        </w:rPr>
        <w:t xml:space="preserve"> </w:t>
      </w:r>
      <w:r w:rsidR="00281836" w:rsidRPr="00DE05FF">
        <w:rPr>
          <w:rFonts w:ascii="Times New Roman" w:hAnsi="Times New Roman" w:cs="Times New Roman"/>
          <w:sz w:val="24"/>
          <w:szCs w:val="24"/>
        </w:rPr>
        <w:t xml:space="preserve">is a medical history </w:t>
      </w:r>
      <w:r w:rsidR="00281836" w:rsidRPr="00DE05FF">
        <w:rPr>
          <w:rFonts w:ascii="Times New Roman" w:hAnsi="Times New Roman" w:cs="Times New Roman"/>
          <w:sz w:val="24"/>
          <w:szCs w:val="24"/>
        </w:rPr>
        <w:lastRenderedPageBreak/>
        <w:t xml:space="preserve">of the patient's electronic version maintained over time by the provider. It might incorporate </w:t>
      </w:r>
      <w:r w:rsidR="00E403EB">
        <w:rPr>
          <w:rFonts w:ascii="Times New Roman" w:hAnsi="Times New Roman" w:cs="Times New Roman"/>
          <w:sz w:val="24"/>
          <w:szCs w:val="24"/>
        </w:rPr>
        <w:t xml:space="preserve">all the crucial </w:t>
      </w:r>
      <w:r w:rsidR="00281836" w:rsidRPr="00DE05FF">
        <w:rPr>
          <w:rFonts w:ascii="Times New Roman" w:hAnsi="Times New Roman" w:cs="Times New Roman"/>
          <w:sz w:val="24"/>
          <w:szCs w:val="24"/>
        </w:rPr>
        <w:t>clinical</w:t>
      </w:r>
      <w:r w:rsidR="00E403EB">
        <w:rPr>
          <w:rFonts w:ascii="Times New Roman" w:hAnsi="Times New Roman" w:cs="Times New Roman"/>
          <w:sz w:val="24"/>
          <w:szCs w:val="24"/>
        </w:rPr>
        <w:t xml:space="preserve"> and administrative data essential to the</w:t>
      </w:r>
      <w:r w:rsidR="00281836" w:rsidRPr="00DE05FF">
        <w:rPr>
          <w:rFonts w:ascii="Times New Roman" w:hAnsi="Times New Roman" w:cs="Times New Roman"/>
          <w:sz w:val="24"/>
          <w:szCs w:val="24"/>
        </w:rPr>
        <w:t xml:space="preserve"> care</w:t>
      </w:r>
      <w:r w:rsidR="00E403EB">
        <w:rPr>
          <w:rFonts w:ascii="Times New Roman" w:hAnsi="Times New Roman" w:cs="Times New Roman"/>
          <w:sz w:val="24"/>
          <w:szCs w:val="24"/>
        </w:rPr>
        <w:t xml:space="preserve"> of the patient under a specific </w:t>
      </w:r>
      <w:r w:rsidR="00281836" w:rsidRPr="00DE05FF">
        <w:rPr>
          <w:rFonts w:ascii="Times New Roman" w:hAnsi="Times New Roman" w:cs="Times New Roman"/>
          <w:sz w:val="24"/>
          <w:szCs w:val="24"/>
        </w:rPr>
        <w:t>provider</w:t>
      </w:r>
      <w:r w:rsidR="00717B32" w:rsidRPr="00717B32">
        <w:rPr>
          <w:rFonts w:ascii="Times New Roman" w:hAnsi="Times New Roman" w:cs="Times New Roman"/>
          <w:sz w:val="24"/>
          <w:szCs w:val="24"/>
        </w:rPr>
        <w:t xml:space="preserve"> </w:t>
      </w:r>
      <w:r w:rsidR="00717B32">
        <w:rPr>
          <w:rFonts w:ascii="Times New Roman" w:hAnsi="Times New Roman" w:cs="Times New Roman"/>
          <w:sz w:val="24"/>
          <w:szCs w:val="24"/>
        </w:rPr>
        <w:t>(</w:t>
      </w:r>
      <w:r w:rsidR="00717B32" w:rsidRPr="00717B32">
        <w:rPr>
          <w:rFonts w:ascii="Times New Roman" w:hAnsi="Times New Roman" w:cs="Times New Roman"/>
          <w:sz w:val="24"/>
          <w:szCs w:val="24"/>
        </w:rPr>
        <w:t>Kruse</w:t>
      </w:r>
      <w:r w:rsidR="00717B32">
        <w:rPr>
          <w:rFonts w:ascii="Times New Roman" w:hAnsi="Times New Roman" w:cs="Times New Roman"/>
          <w:sz w:val="24"/>
          <w:szCs w:val="24"/>
        </w:rPr>
        <w:t xml:space="preserve"> et al. 2017)</w:t>
      </w:r>
      <w:r w:rsidR="00281836" w:rsidRPr="00DE05FF">
        <w:rPr>
          <w:rFonts w:ascii="Times New Roman" w:hAnsi="Times New Roman" w:cs="Times New Roman"/>
          <w:sz w:val="24"/>
          <w:szCs w:val="24"/>
        </w:rPr>
        <w:t xml:space="preserve">. Security and confidentiality of protected health information (PHI) included incorporated in the electronic health record of the patient is addressed in the HIPAA act. </w:t>
      </w:r>
      <w:r w:rsidR="00DE05FF" w:rsidRPr="00DE05FF">
        <w:rPr>
          <w:rFonts w:ascii="Times New Roman" w:hAnsi="Times New Roman" w:cs="Times New Roman"/>
          <w:sz w:val="24"/>
          <w:szCs w:val="24"/>
        </w:rPr>
        <w:t>EHRs consist</w:t>
      </w:r>
      <w:r w:rsidR="00CD7F64" w:rsidRPr="00DE05FF">
        <w:rPr>
          <w:rFonts w:ascii="Times New Roman" w:hAnsi="Times New Roman" w:cs="Times New Roman"/>
          <w:sz w:val="24"/>
          <w:szCs w:val="24"/>
        </w:rPr>
        <w:t>s of a vast amount b of diagnostic data and patient information, much of which is regarded as protected health information.  Access control prevents electronic resource access. Physical safeguard prevents physical access to resources. The administrative techniques take the form of practices, procedures, and policies in the facility to check for vulnerabilities and improve the organization's security posture continually</w:t>
      </w:r>
      <w:r w:rsidR="00717B32">
        <w:rPr>
          <w:rFonts w:ascii="Times New Roman" w:hAnsi="Times New Roman" w:cs="Times New Roman"/>
          <w:sz w:val="24"/>
          <w:szCs w:val="24"/>
        </w:rPr>
        <w:t xml:space="preserve"> </w:t>
      </w:r>
      <w:bookmarkStart w:id="2" w:name="_Hlk52563002"/>
      <w:r w:rsidR="00717B32" w:rsidRPr="00717B32">
        <w:rPr>
          <w:rFonts w:ascii="Times New Roman" w:hAnsi="Times New Roman" w:cs="Times New Roman"/>
          <w:sz w:val="24"/>
          <w:szCs w:val="24"/>
        </w:rPr>
        <w:t>(Kruse et al. 2017)</w:t>
      </w:r>
      <w:bookmarkEnd w:id="2"/>
      <w:r w:rsidR="00CD7F64" w:rsidRPr="00DE05FF">
        <w:rPr>
          <w:rFonts w:ascii="Times New Roman" w:hAnsi="Times New Roman" w:cs="Times New Roman"/>
          <w:sz w:val="24"/>
          <w:szCs w:val="24"/>
        </w:rPr>
        <w:t>.</w:t>
      </w:r>
    </w:p>
    <w:p w14:paraId="12BA489F" w14:textId="47D39E41" w:rsidR="000541F5" w:rsidRPr="00DE05FF" w:rsidRDefault="00507E84" w:rsidP="00DE0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maintaining the patient's confidentiality</w:t>
      </w:r>
      <w:r w:rsidR="00C76908">
        <w:rPr>
          <w:rFonts w:ascii="Times New Roman" w:hAnsi="Times New Roman" w:cs="Times New Roman"/>
          <w:sz w:val="24"/>
          <w:szCs w:val="24"/>
        </w:rPr>
        <w:t>, especially by the medical students</w:t>
      </w:r>
      <w:r>
        <w:rPr>
          <w:rFonts w:ascii="Times New Roman" w:hAnsi="Times New Roman" w:cs="Times New Roman"/>
          <w:sz w:val="24"/>
          <w:szCs w:val="24"/>
        </w:rPr>
        <w:t>, maybe a challenge, especially in situations where the student is not well conversant with the clinical environments. This challenge may be a result of the conflict with essential aspects like the freedom of speech and also the academic freedom</w:t>
      </w:r>
      <w:r w:rsidR="00C76908">
        <w:rPr>
          <w:rFonts w:ascii="Times New Roman" w:hAnsi="Times New Roman" w:cs="Times New Roman"/>
          <w:sz w:val="24"/>
          <w:szCs w:val="24"/>
        </w:rPr>
        <w:t xml:space="preserve"> of the health student</w:t>
      </w:r>
      <w:r>
        <w:rPr>
          <w:rFonts w:ascii="Times New Roman" w:hAnsi="Times New Roman" w:cs="Times New Roman"/>
          <w:sz w:val="24"/>
          <w:szCs w:val="24"/>
        </w:rPr>
        <w:t xml:space="preserve"> hence leading to ethical issues that are complex</w:t>
      </w:r>
      <w:r w:rsidR="00C76908">
        <w:rPr>
          <w:rFonts w:ascii="Times New Roman" w:hAnsi="Times New Roman" w:cs="Times New Roman"/>
          <w:sz w:val="24"/>
          <w:szCs w:val="24"/>
        </w:rPr>
        <w:t xml:space="preserve"> </w:t>
      </w:r>
      <w:r w:rsidR="00C76908" w:rsidRPr="00C76908">
        <w:rPr>
          <w:rFonts w:ascii="Times New Roman" w:hAnsi="Times New Roman" w:cs="Times New Roman"/>
          <w:sz w:val="24"/>
          <w:szCs w:val="24"/>
        </w:rPr>
        <w:t>(Kruse et al. 2017)</w:t>
      </w:r>
      <w:r>
        <w:rPr>
          <w:rFonts w:ascii="Times New Roman" w:hAnsi="Times New Roman" w:cs="Times New Roman"/>
          <w:sz w:val="24"/>
          <w:szCs w:val="24"/>
        </w:rPr>
        <w:t>.</w:t>
      </w:r>
    </w:p>
    <w:p w14:paraId="6A9A5817" w14:textId="437AF675" w:rsidR="00EE6BE1" w:rsidRPr="00DE05FF" w:rsidRDefault="00507E84" w:rsidP="00DE0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717B32">
        <w:rPr>
          <w:rFonts w:ascii="Times New Roman" w:hAnsi="Times New Roman" w:cs="Times New Roman"/>
          <w:sz w:val="24"/>
          <w:szCs w:val="24"/>
        </w:rPr>
        <w:t>Keochinda, 2017</w:t>
      </w:r>
      <w:r>
        <w:rPr>
          <w:rFonts w:ascii="Times New Roman" w:hAnsi="Times New Roman" w:cs="Times New Roman"/>
          <w:sz w:val="24"/>
          <w:szCs w:val="24"/>
        </w:rPr>
        <w:t>, d</w:t>
      </w:r>
      <w:r w:rsidR="00543C8D" w:rsidRPr="00DE05FF">
        <w:rPr>
          <w:rFonts w:ascii="Times New Roman" w:hAnsi="Times New Roman" w:cs="Times New Roman"/>
          <w:sz w:val="24"/>
          <w:szCs w:val="24"/>
        </w:rPr>
        <w:t xml:space="preserve">iscovered violations should be dealt with promptly with less than thirty days. Delays beyond the time frame foreclose </w:t>
      </w:r>
      <w:r w:rsidR="000D15EF" w:rsidRPr="00DE05FF">
        <w:rPr>
          <w:rFonts w:ascii="Times New Roman" w:hAnsi="Times New Roman" w:cs="Times New Roman"/>
          <w:sz w:val="24"/>
          <w:szCs w:val="24"/>
        </w:rPr>
        <w:t>defense’s</w:t>
      </w:r>
      <w:r w:rsidR="00543C8D" w:rsidRPr="00DE05FF">
        <w:rPr>
          <w:rFonts w:ascii="Times New Roman" w:hAnsi="Times New Roman" w:cs="Times New Roman"/>
          <w:sz w:val="24"/>
          <w:szCs w:val="24"/>
        </w:rPr>
        <w:t>, which would reduce the monetary penalty amounts. Covered entities should enhance compliance with applicable privacy rule provisions. Increased vigilance should be improved because of the requirements of enhanced breach notification and also non-compliance</w:t>
      </w:r>
      <w:r w:rsidR="007F2C49" w:rsidRPr="00DE05FF">
        <w:rPr>
          <w:rFonts w:ascii="Times New Roman" w:hAnsi="Times New Roman" w:cs="Times New Roman"/>
          <w:sz w:val="24"/>
          <w:szCs w:val="24"/>
        </w:rPr>
        <w:t xml:space="preserve"> of the business associate</w:t>
      </w:r>
      <w:r w:rsidR="00543C8D" w:rsidRPr="00DE05FF">
        <w:rPr>
          <w:rFonts w:ascii="Times New Roman" w:hAnsi="Times New Roman" w:cs="Times New Roman"/>
          <w:sz w:val="24"/>
          <w:szCs w:val="24"/>
        </w:rPr>
        <w:t xml:space="preserve"> probability </w:t>
      </w:r>
      <w:r w:rsidR="007F2C49" w:rsidRPr="00DE05FF">
        <w:rPr>
          <w:rFonts w:ascii="Times New Roman" w:hAnsi="Times New Roman" w:cs="Times New Roman"/>
          <w:sz w:val="24"/>
          <w:szCs w:val="24"/>
        </w:rPr>
        <w:t>by the covered entities. PHI should not be sold</w:t>
      </w:r>
      <w:r w:rsidR="00DE05FF" w:rsidRPr="00DE05FF">
        <w:rPr>
          <w:rFonts w:ascii="Times New Roman" w:hAnsi="Times New Roman" w:cs="Times New Roman"/>
          <w:sz w:val="24"/>
          <w:szCs w:val="24"/>
        </w:rPr>
        <w:t xml:space="preserve"> </w:t>
      </w:r>
      <w:r w:rsidR="00DE05FF">
        <w:rPr>
          <w:rFonts w:ascii="Times New Roman" w:hAnsi="Times New Roman" w:cs="Times New Roman"/>
          <w:sz w:val="24"/>
          <w:szCs w:val="24"/>
        </w:rPr>
        <w:t>unless individual authorization is done</w:t>
      </w:r>
      <w:r w:rsidR="007F2C49" w:rsidRPr="00DE05FF">
        <w:rPr>
          <w:rFonts w:ascii="Times New Roman" w:hAnsi="Times New Roman" w:cs="Times New Roman"/>
          <w:sz w:val="24"/>
          <w:szCs w:val="24"/>
        </w:rPr>
        <w:t>. If a business associate receives remuneration on PHI disclosure, then it is considered as a sale. PHI permits the covered entities to send persons unencrypted emails</w:t>
      </w:r>
      <w:r w:rsidRPr="00717B32">
        <w:rPr>
          <w:rFonts w:ascii="Times New Roman" w:hAnsi="Times New Roman" w:cs="Times New Roman"/>
          <w:sz w:val="24"/>
          <w:szCs w:val="24"/>
        </w:rPr>
        <w:t xml:space="preserve"> </w:t>
      </w:r>
      <w:r>
        <w:rPr>
          <w:rFonts w:ascii="Times New Roman" w:hAnsi="Times New Roman" w:cs="Times New Roman"/>
          <w:sz w:val="24"/>
          <w:szCs w:val="24"/>
        </w:rPr>
        <w:t xml:space="preserve">(Keochinda, </w:t>
      </w:r>
      <w:r w:rsidRPr="00717B32">
        <w:rPr>
          <w:rFonts w:ascii="Times New Roman" w:hAnsi="Times New Roman" w:cs="Times New Roman"/>
          <w:sz w:val="24"/>
          <w:szCs w:val="24"/>
        </w:rPr>
        <w:t>2017</w:t>
      </w:r>
      <w:r>
        <w:rPr>
          <w:rFonts w:ascii="Times New Roman" w:hAnsi="Times New Roman" w:cs="Times New Roman"/>
          <w:sz w:val="24"/>
          <w:szCs w:val="24"/>
        </w:rPr>
        <w:t>)</w:t>
      </w:r>
      <w:r w:rsidR="007F2C49" w:rsidRPr="00DE05FF">
        <w:rPr>
          <w:rFonts w:ascii="Times New Roman" w:hAnsi="Times New Roman" w:cs="Times New Roman"/>
          <w:sz w:val="24"/>
          <w:szCs w:val="24"/>
        </w:rPr>
        <w:t>.</w:t>
      </w:r>
    </w:p>
    <w:p w14:paraId="3E325A39" w14:textId="77777777" w:rsidR="00977389" w:rsidRPr="00DE05FF" w:rsidRDefault="00507E84" w:rsidP="00DE05FF">
      <w:pPr>
        <w:spacing w:line="480" w:lineRule="auto"/>
        <w:ind w:firstLine="720"/>
        <w:rPr>
          <w:rFonts w:ascii="Times New Roman" w:hAnsi="Times New Roman" w:cs="Times New Roman"/>
          <w:sz w:val="24"/>
          <w:szCs w:val="24"/>
        </w:rPr>
      </w:pPr>
      <w:r w:rsidRPr="00DE05FF">
        <w:rPr>
          <w:rFonts w:ascii="Times New Roman" w:hAnsi="Times New Roman" w:cs="Times New Roman"/>
          <w:sz w:val="24"/>
          <w:szCs w:val="24"/>
        </w:rPr>
        <w:lastRenderedPageBreak/>
        <w:t>From the case study,</w:t>
      </w:r>
      <w:r w:rsidR="00E77807" w:rsidRPr="00DE05FF">
        <w:rPr>
          <w:rFonts w:ascii="Times New Roman" w:hAnsi="Times New Roman" w:cs="Times New Roman"/>
          <w:sz w:val="24"/>
          <w:szCs w:val="24"/>
        </w:rPr>
        <w:t xml:space="preserve"> and based on the provided evidence and HIPAA violations research, I agree that the student nurse was in HIPAA violation. According to the standard method, the individual should not be identified, and there should be fewer chances of individual identification by the information provided</w:t>
      </w:r>
      <w:r w:rsidR="00717B32" w:rsidRPr="00717B32">
        <w:rPr>
          <w:rFonts w:ascii="Times New Roman" w:hAnsi="Times New Roman" w:cs="Times New Roman"/>
          <w:sz w:val="24"/>
          <w:szCs w:val="24"/>
        </w:rPr>
        <w:t xml:space="preserve"> </w:t>
      </w:r>
      <w:r w:rsidR="00717B32">
        <w:rPr>
          <w:rFonts w:ascii="Times New Roman" w:hAnsi="Times New Roman" w:cs="Times New Roman"/>
          <w:sz w:val="24"/>
          <w:szCs w:val="24"/>
        </w:rPr>
        <w:t>(</w:t>
      </w:r>
      <w:r w:rsidR="00717B32" w:rsidRPr="00717B32">
        <w:rPr>
          <w:rFonts w:ascii="Times New Roman" w:hAnsi="Times New Roman" w:cs="Times New Roman"/>
          <w:sz w:val="24"/>
          <w:szCs w:val="24"/>
        </w:rPr>
        <w:t>Cannon &amp; Caldwell 2016</w:t>
      </w:r>
      <w:r w:rsidR="00717B32">
        <w:rPr>
          <w:rFonts w:ascii="Times New Roman" w:hAnsi="Times New Roman" w:cs="Times New Roman"/>
          <w:sz w:val="24"/>
          <w:szCs w:val="24"/>
        </w:rPr>
        <w:t>)</w:t>
      </w:r>
      <w:r w:rsidR="00E77807" w:rsidRPr="00DE05FF">
        <w:rPr>
          <w:rFonts w:ascii="Times New Roman" w:hAnsi="Times New Roman" w:cs="Times New Roman"/>
          <w:sz w:val="24"/>
          <w:szCs w:val="24"/>
        </w:rPr>
        <w:t>.</w:t>
      </w:r>
      <w:r w:rsidR="00E01A9E" w:rsidRPr="00DE05FF">
        <w:rPr>
          <w:rFonts w:ascii="Times New Roman" w:hAnsi="Times New Roman" w:cs="Times New Roman"/>
          <w:sz w:val="24"/>
          <w:szCs w:val="24"/>
        </w:rPr>
        <w:t xml:space="preserve"> However, sharing of the parents' general occupations like lawyers and community prominent public figures information would lead to easy identification of the patient, which is a HIPAA violation.</w:t>
      </w:r>
      <w:r w:rsidR="00E77807" w:rsidRPr="00DE05FF">
        <w:rPr>
          <w:rFonts w:ascii="Times New Roman" w:hAnsi="Times New Roman" w:cs="Times New Roman"/>
          <w:sz w:val="24"/>
          <w:szCs w:val="24"/>
        </w:rPr>
        <w:t xml:space="preserve"> Conversely, the information provided by the student nurse would lead to the title of the individual.</w:t>
      </w:r>
      <w:r w:rsidR="00E01A9E" w:rsidRPr="00DE05FF">
        <w:rPr>
          <w:rFonts w:ascii="Times New Roman" w:hAnsi="Times New Roman" w:cs="Times New Roman"/>
          <w:sz w:val="24"/>
          <w:szCs w:val="24"/>
        </w:rPr>
        <w:t xml:space="preserve"> She shared information on HIPAA that concerned the family situation.</w:t>
      </w:r>
    </w:p>
    <w:p w14:paraId="2CBC1DD1" w14:textId="77777777" w:rsidR="00365AE6" w:rsidRPr="00DE05FF" w:rsidRDefault="00507E84" w:rsidP="00DE05FF">
      <w:pPr>
        <w:spacing w:line="480" w:lineRule="auto"/>
        <w:ind w:firstLine="720"/>
        <w:rPr>
          <w:rFonts w:ascii="Times New Roman" w:hAnsi="Times New Roman" w:cs="Times New Roman"/>
          <w:sz w:val="24"/>
          <w:szCs w:val="24"/>
        </w:rPr>
      </w:pPr>
      <w:r w:rsidRPr="00DE05FF">
        <w:rPr>
          <w:rFonts w:ascii="Times New Roman" w:hAnsi="Times New Roman" w:cs="Times New Roman"/>
          <w:sz w:val="24"/>
          <w:szCs w:val="24"/>
        </w:rPr>
        <w:t>Additionally, the student nurse discussed a case being reviewed by the hospital having a directive not to discuss the patient case in her role as a hospital employee</w:t>
      </w:r>
      <w:r w:rsidR="00182160" w:rsidRPr="00182160">
        <w:rPr>
          <w:rFonts w:ascii="Times New Roman" w:hAnsi="Times New Roman" w:cs="Times New Roman"/>
          <w:sz w:val="24"/>
          <w:szCs w:val="24"/>
        </w:rPr>
        <w:t xml:space="preserve"> </w:t>
      </w:r>
      <w:r w:rsidR="00182160">
        <w:rPr>
          <w:rFonts w:ascii="Times New Roman" w:hAnsi="Times New Roman" w:cs="Times New Roman"/>
          <w:sz w:val="24"/>
          <w:szCs w:val="24"/>
        </w:rPr>
        <w:t>(</w:t>
      </w:r>
      <w:r w:rsidR="00182160" w:rsidRPr="00182160">
        <w:rPr>
          <w:rFonts w:ascii="Times New Roman" w:hAnsi="Times New Roman" w:cs="Times New Roman"/>
          <w:sz w:val="24"/>
          <w:szCs w:val="24"/>
        </w:rPr>
        <w:t>Cannon &amp; Caldwell 2016</w:t>
      </w:r>
      <w:r w:rsidR="00182160">
        <w:rPr>
          <w:rFonts w:ascii="Times New Roman" w:hAnsi="Times New Roman" w:cs="Times New Roman"/>
          <w:sz w:val="24"/>
          <w:szCs w:val="24"/>
        </w:rPr>
        <w:t>)</w:t>
      </w:r>
      <w:r w:rsidRPr="00DE05FF">
        <w:rPr>
          <w:rFonts w:ascii="Times New Roman" w:hAnsi="Times New Roman" w:cs="Times New Roman"/>
          <w:sz w:val="24"/>
          <w:szCs w:val="24"/>
        </w:rPr>
        <w:t xml:space="preserve">. </w:t>
      </w:r>
      <w:r w:rsidR="00B23F29" w:rsidRPr="00DE05FF">
        <w:rPr>
          <w:rFonts w:ascii="Times New Roman" w:hAnsi="Times New Roman" w:cs="Times New Roman"/>
          <w:sz w:val="24"/>
          <w:szCs w:val="24"/>
        </w:rPr>
        <w:t xml:space="preserve"> The student also commented on the care quality provided at the facility by the nurses and blamed them for the prolonged length of stay and patient complications, which is a HIPAA violation. However, since the violations committed were during the learning and the student's dual responsibility, there was supposed to be a careful consideration</w:t>
      </w:r>
      <w:r w:rsidR="00182160" w:rsidRPr="00182160">
        <w:rPr>
          <w:rFonts w:ascii="Times New Roman" w:hAnsi="Times New Roman" w:cs="Times New Roman"/>
          <w:sz w:val="24"/>
          <w:szCs w:val="24"/>
        </w:rPr>
        <w:t xml:space="preserve">. </w:t>
      </w:r>
      <w:r w:rsidR="00543C8D" w:rsidRPr="00DE05FF">
        <w:rPr>
          <w:rFonts w:ascii="Times New Roman" w:hAnsi="Times New Roman" w:cs="Times New Roman"/>
          <w:sz w:val="24"/>
          <w:szCs w:val="24"/>
        </w:rPr>
        <w:t>According to the article written by Becker's Hospital Review, ten common mistakes happen in the practice that results in HIPAA violations. However, the course's standard errors include information disclosing by the employees a situation where employees gossip about patients with coworkers of friends</w:t>
      </w:r>
      <w:r w:rsidR="00182160">
        <w:rPr>
          <w:rFonts w:ascii="Times New Roman" w:hAnsi="Times New Roman" w:cs="Times New Roman"/>
          <w:sz w:val="24"/>
          <w:szCs w:val="24"/>
        </w:rPr>
        <w:t xml:space="preserve"> </w:t>
      </w:r>
      <w:r w:rsidR="00182160" w:rsidRPr="00182160">
        <w:rPr>
          <w:rFonts w:ascii="Times New Roman" w:hAnsi="Times New Roman" w:cs="Times New Roman"/>
          <w:sz w:val="24"/>
          <w:szCs w:val="24"/>
        </w:rPr>
        <w:t>(Cannon &amp; Caldwell 2016)</w:t>
      </w:r>
      <w:r w:rsidR="00543C8D" w:rsidRPr="00DE05FF">
        <w:rPr>
          <w:rFonts w:ascii="Times New Roman" w:hAnsi="Times New Roman" w:cs="Times New Roman"/>
          <w:sz w:val="24"/>
          <w:szCs w:val="24"/>
        </w:rPr>
        <w:t>. It is a HIPAA violation that can attract a significant penalty.</w:t>
      </w:r>
      <w:r w:rsidR="006E0A1B" w:rsidRPr="00DE05FF">
        <w:rPr>
          <w:rFonts w:ascii="Times New Roman" w:hAnsi="Times New Roman" w:cs="Times New Roman"/>
          <w:sz w:val="24"/>
          <w:szCs w:val="24"/>
        </w:rPr>
        <w:t xml:space="preserve"> To mitigate this common specific violation, I would ensure that e</w:t>
      </w:r>
      <w:r w:rsidR="00543C8D" w:rsidRPr="00DE05FF">
        <w:rPr>
          <w:rFonts w:ascii="Times New Roman" w:hAnsi="Times New Roman" w:cs="Times New Roman"/>
          <w:sz w:val="24"/>
          <w:szCs w:val="24"/>
        </w:rPr>
        <w:t xml:space="preserve">mployees </w:t>
      </w:r>
      <w:r w:rsidR="006E0A1B" w:rsidRPr="00DE05FF">
        <w:rPr>
          <w:rFonts w:ascii="Times New Roman" w:hAnsi="Times New Roman" w:cs="Times New Roman"/>
          <w:sz w:val="24"/>
          <w:szCs w:val="24"/>
        </w:rPr>
        <w:t>are</w:t>
      </w:r>
      <w:r w:rsidR="00543C8D" w:rsidRPr="00DE05FF">
        <w:rPr>
          <w:rFonts w:ascii="Times New Roman" w:hAnsi="Times New Roman" w:cs="Times New Roman"/>
          <w:sz w:val="24"/>
          <w:szCs w:val="24"/>
        </w:rPr>
        <w:t xml:space="preserve"> mind</w:t>
      </w:r>
      <w:r w:rsidR="006E0A1B" w:rsidRPr="00DE05FF">
        <w:rPr>
          <w:rFonts w:ascii="Times New Roman" w:hAnsi="Times New Roman" w:cs="Times New Roman"/>
          <w:sz w:val="24"/>
          <w:szCs w:val="24"/>
        </w:rPr>
        <w:t>s</w:t>
      </w:r>
      <w:r w:rsidR="00543C8D" w:rsidRPr="00DE05FF">
        <w:rPr>
          <w:rFonts w:ascii="Times New Roman" w:hAnsi="Times New Roman" w:cs="Times New Roman"/>
          <w:sz w:val="24"/>
          <w:szCs w:val="24"/>
        </w:rPr>
        <w:t xml:space="preserve"> their environment, conversations regarding </w:t>
      </w:r>
      <w:r w:rsidR="00DE05FF" w:rsidRPr="00DE05FF">
        <w:rPr>
          <w:rFonts w:ascii="Times New Roman" w:hAnsi="Times New Roman" w:cs="Times New Roman"/>
          <w:sz w:val="24"/>
          <w:szCs w:val="24"/>
        </w:rPr>
        <w:t>patient’s</w:t>
      </w:r>
      <w:r w:rsidR="00543C8D" w:rsidRPr="00DE05FF">
        <w:rPr>
          <w:rFonts w:ascii="Times New Roman" w:hAnsi="Times New Roman" w:cs="Times New Roman"/>
          <w:sz w:val="24"/>
          <w:szCs w:val="24"/>
        </w:rPr>
        <w:t xml:space="preserve"> restriction, and</w:t>
      </w:r>
      <w:r w:rsidR="006E0A1B" w:rsidRPr="00DE05FF">
        <w:rPr>
          <w:rFonts w:ascii="Times New Roman" w:hAnsi="Times New Roman" w:cs="Times New Roman"/>
          <w:sz w:val="24"/>
          <w:szCs w:val="24"/>
        </w:rPr>
        <w:t xml:space="preserve"> providing employees </w:t>
      </w:r>
      <w:r w:rsidR="00543C8D" w:rsidRPr="00DE05FF">
        <w:rPr>
          <w:rFonts w:ascii="Times New Roman" w:hAnsi="Times New Roman" w:cs="Times New Roman"/>
          <w:sz w:val="24"/>
          <w:szCs w:val="24"/>
        </w:rPr>
        <w:t>avoid patient information sharing with family or friends</w:t>
      </w:r>
      <w:r w:rsidR="006E0A1B" w:rsidRPr="00DE05FF">
        <w:rPr>
          <w:rFonts w:ascii="Times New Roman" w:hAnsi="Times New Roman" w:cs="Times New Roman"/>
          <w:sz w:val="24"/>
          <w:szCs w:val="24"/>
        </w:rPr>
        <w:t xml:space="preserve"> by setting up rules and regulations</w:t>
      </w:r>
      <w:r w:rsidR="00182160">
        <w:rPr>
          <w:rFonts w:ascii="Times New Roman" w:hAnsi="Times New Roman" w:cs="Times New Roman"/>
          <w:sz w:val="24"/>
          <w:szCs w:val="24"/>
        </w:rPr>
        <w:t>.</w:t>
      </w:r>
    </w:p>
    <w:p w14:paraId="47D09DFD" w14:textId="46291282" w:rsidR="00CE2DD2" w:rsidRPr="00CE2DD2" w:rsidRDefault="00507E84" w:rsidP="00CE2DD2">
      <w:pPr>
        <w:spacing w:line="480" w:lineRule="auto"/>
        <w:rPr>
          <w:rFonts w:ascii="Times New Roman" w:hAnsi="Times New Roman" w:cs="Times New Roman"/>
          <w:sz w:val="24"/>
          <w:szCs w:val="24"/>
        </w:rPr>
      </w:pPr>
      <w:r w:rsidRPr="00DE05FF">
        <w:rPr>
          <w:rFonts w:ascii="Times New Roman" w:hAnsi="Times New Roman" w:cs="Times New Roman"/>
          <w:sz w:val="24"/>
          <w:szCs w:val="24"/>
        </w:rPr>
        <w:t xml:space="preserve"> </w:t>
      </w:r>
      <w:r w:rsidR="00DE05FF">
        <w:rPr>
          <w:rFonts w:ascii="Times New Roman" w:hAnsi="Times New Roman" w:cs="Times New Roman"/>
          <w:sz w:val="24"/>
          <w:szCs w:val="24"/>
        </w:rPr>
        <w:tab/>
      </w:r>
      <w:r w:rsidRPr="00DE05FF">
        <w:rPr>
          <w:rFonts w:ascii="Times New Roman" w:hAnsi="Times New Roman" w:cs="Times New Roman"/>
          <w:sz w:val="24"/>
          <w:szCs w:val="24"/>
        </w:rPr>
        <w:t>Mishandling of the medical rec</w:t>
      </w:r>
      <w:r w:rsidR="00365AE6" w:rsidRPr="00DE05FF">
        <w:rPr>
          <w:rFonts w:ascii="Times New Roman" w:hAnsi="Times New Roman" w:cs="Times New Roman"/>
          <w:sz w:val="24"/>
          <w:szCs w:val="24"/>
        </w:rPr>
        <w:t xml:space="preserve">ords is another common HIPAA violation in practice. When written patient records orchards are commonly used in the way, a nurse or a physician </w:t>
      </w:r>
      <w:r w:rsidR="00365AE6" w:rsidRPr="00DE05FF">
        <w:rPr>
          <w:rFonts w:ascii="Times New Roman" w:hAnsi="Times New Roman" w:cs="Times New Roman"/>
          <w:sz w:val="24"/>
          <w:szCs w:val="24"/>
        </w:rPr>
        <w:lastRenderedPageBreak/>
        <w:t>might accidentally leave the record in the patient's exam room, making it available for another patient to see</w:t>
      </w:r>
      <w:r>
        <w:rPr>
          <w:rFonts w:ascii="Times New Roman" w:hAnsi="Times New Roman" w:cs="Times New Roman"/>
          <w:sz w:val="24"/>
          <w:szCs w:val="24"/>
        </w:rPr>
        <w:t xml:space="preserve"> </w:t>
      </w:r>
      <w:r w:rsidRPr="00CE2DD2">
        <w:rPr>
          <w:rFonts w:ascii="Times New Roman" w:hAnsi="Times New Roman" w:cs="Times New Roman"/>
          <w:sz w:val="24"/>
          <w:szCs w:val="24"/>
        </w:rPr>
        <w:t>(Cannon &amp; Caldwell 2016)</w:t>
      </w:r>
      <w:r w:rsidR="00365AE6" w:rsidRPr="00DE05FF">
        <w:rPr>
          <w:rFonts w:ascii="Times New Roman" w:hAnsi="Times New Roman" w:cs="Times New Roman"/>
          <w:sz w:val="24"/>
          <w:szCs w:val="24"/>
        </w:rPr>
        <w:t xml:space="preserve">. To mitigate this violation, I would put in place for printed medical records to strictly be locked safe and away out of the view of the public. Another common mistake that can lead to HIPAA violations is stolen or </w:t>
      </w:r>
      <w:r w:rsidR="000D15EF" w:rsidRPr="00DE05FF">
        <w:rPr>
          <w:rFonts w:ascii="Times New Roman" w:hAnsi="Times New Roman" w:cs="Times New Roman"/>
          <w:sz w:val="24"/>
          <w:szCs w:val="24"/>
        </w:rPr>
        <w:t>loss</w:t>
      </w:r>
      <w:r w:rsidR="00365AE6" w:rsidRPr="00DE05FF">
        <w:rPr>
          <w:rFonts w:ascii="Times New Roman" w:hAnsi="Times New Roman" w:cs="Times New Roman"/>
          <w:sz w:val="24"/>
          <w:szCs w:val="24"/>
        </w:rPr>
        <w:t xml:space="preserve"> of devices. Through stolen or lost desktops, laptops, smartphones, and other devices containing </w:t>
      </w:r>
      <w:r w:rsidR="006E0A1B" w:rsidRPr="00DE05FF">
        <w:rPr>
          <w:rFonts w:ascii="Times New Roman" w:hAnsi="Times New Roman" w:cs="Times New Roman"/>
          <w:sz w:val="24"/>
          <w:szCs w:val="24"/>
        </w:rPr>
        <w:t>patient information can lead to HIPAA fines</w:t>
      </w:r>
      <w:r>
        <w:rPr>
          <w:rFonts w:ascii="Times New Roman" w:hAnsi="Times New Roman" w:cs="Times New Roman"/>
          <w:sz w:val="24"/>
          <w:szCs w:val="24"/>
        </w:rPr>
        <w:t xml:space="preserve"> </w:t>
      </w:r>
      <w:r w:rsidRPr="00CE2DD2">
        <w:rPr>
          <w:rFonts w:ascii="Times New Roman" w:hAnsi="Times New Roman" w:cs="Times New Roman"/>
          <w:sz w:val="24"/>
          <w:szCs w:val="24"/>
        </w:rPr>
        <w:t>(Kruse et al. 2017).</w:t>
      </w:r>
    </w:p>
    <w:p w14:paraId="2949BC31" w14:textId="77777777" w:rsidR="00F5282D" w:rsidRPr="00DE05FF" w:rsidRDefault="00507E84" w:rsidP="00DE05F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E0A1B" w:rsidRPr="00DE05FF">
        <w:rPr>
          <w:rFonts w:ascii="Times New Roman" w:hAnsi="Times New Roman" w:cs="Times New Roman"/>
          <w:sz w:val="24"/>
          <w:szCs w:val="24"/>
        </w:rPr>
        <w:t>.  To mitigate this, since mobile devices are most vulnerable to theft due to their sizes, I would put into place the necessary safeguards such as encryption to access the specific information of the patient and also authorization of password protection</w:t>
      </w:r>
      <w:r>
        <w:rPr>
          <w:rFonts w:ascii="Times New Roman" w:hAnsi="Times New Roman" w:cs="Times New Roman"/>
          <w:sz w:val="24"/>
          <w:szCs w:val="24"/>
        </w:rPr>
        <w:t>.</w:t>
      </w:r>
      <w:r w:rsidR="00182160" w:rsidRPr="00182160">
        <w:rPr>
          <w:rFonts w:ascii="Times New Roman" w:hAnsi="Times New Roman" w:cs="Times New Roman"/>
          <w:sz w:val="24"/>
          <w:szCs w:val="24"/>
        </w:rPr>
        <w:t xml:space="preserve"> </w:t>
      </w:r>
    </w:p>
    <w:p w14:paraId="0CC57002" w14:textId="77777777" w:rsidR="006E0A1B" w:rsidRDefault="00507E84" w:rsidP="00DE05FF">
      <w:pPr>
        <w:spacing w:line="480" w:lineRule="auto"/>
        <w:ind w:firstLine="720"/>
        <w:rPr>
          <w:rFonts w:ascii="Times New Roman" w:hAnsi="Times New Roman" w:cs="Times New Roman"/>
          <w:sz w:val="24"/>
          <w:szCs w:val="24"/>
        </w:rPr>
      </w:pPr>
      <w:r w:rsidRPr="00DE05FF">
        <w:rPr>
          <w:rFonts w:ascii="Times New Roman" w:hAnsi="Times New Roman" w:cs="Times New Roman"/>
          <w:sz w:val="24"/>
          <w:szCs w:val="24"/>
        </w:rPr>
        <w:t>The article</w:t>
      </w:r>
      <w:r w:rsidR="00182160">
        <w:rPr>
          <w:rFonts w:ascii="Times New Roman" w:hAnsi="Times New Roman" w:cs="Times New Roman"/>
          <w:sz w:val="24"/>
          <w:szCs w:val="24"/>
        </w:rPr>
        <w:t>'s</w:t>
      </w:r>
      <w:r w:rsidRPr="00DE05FF">
        <w:rPr>
          <w:rFonts w:ascii="Times New Roman" w:hAnsi="Times New Roman" w:cs="Times New Roman"/>
          <w:sz w:val="24"/>
          <w:szCs w:val="24"/>
        </w:rPr>
        <w:t xml:space="preserve"> readings relate to the course modules through establishments of common mistakes in the practice that leads to HIPAA violations. Additionally, a student nurse can understand these common mistakes and the specific techniques that should be put in place to avoid HIPAA violations. To the health care system, the topic is essential as it helps safeguard the confidential information of the patients. Additionally, professionalism is held to its standards by the practitioners. </w:t>
      </w:r>
    </w:p>
    <w:p w14:paraId="0D66A5CA" w14:textId="77777777" w:rsidR="00DE05FF" w:rsidRDefault="00DE05FF" w:rsidP="00DE05FF">
      <w:pPr>
        <w:spacing w:line="480" w:lineRule="auto"/>
        <w:ind w:firstLine="720"/>
        <w:rPr>
          <w:rFonts w:ascii="Times New Roman" w:hAnsi="Times New Roman" w:cs="Times New Roman"/>
          <w:sz w:val="24"/>
          <w:szCs w:val="24"/>
        </w:rPr>
      </w:pPr>
    </w:p>
    <w:p w14:paraId="35F2FE8A" w14:textId="77777777" w:rsidR="00DE05FF" w:rsidRDefault="00DE05FF" w:rsidP="00DE05FF">
      <w:pPr>
        <w:spacing w:line="480" w:lineRule="auto"/>
        <w:ind w:firstLine="720"/>
        <w:rPr>
          <w:rFonts w:ascii="Times New Roman" w:hAnsi="Times New Roman" w:cs="Times New Roman"/>
          <w:sz w:val="24"/>
          <w:szCs w:val="24"/>
        </w:rPr>
      </w:pPr>
    </w:p>
    <w:p w14:paraId="461BCAE6" w14:textId="77777777" w:rsidR="00DE05FF" w:rsidRDefault="00DE05FF" w:rsidP="00DE05FF">
      <w:pPr>
        <w:spacing w:line="480" w:lineRule="auto"/>
        <w:ind w:firstLine="720"/>
        <w:rPr>
          <w:rFonts w:ascii="Times New Roman" w:hAnsi="Times New Roman" w:cs="Times New Roman"/>
          <w:sz w:val="24"/>
          <w:szCs w:val="24"/>
        </w:rPr>
      </w:pPr>
    </w:p>
    <w:p w14:paraId="3343C06F" w14:textId="77777777" w:rsidR="00DE05FF" w:rsidRDefault="00DE05FF" w:rsidP="00DE05FF">
      <w:pPr>
        <w:spacing w:line="480" w:lineRule="auto"/>
        <w:ind w:firstLine="720"/>
        <w:rPr>
          <w:rFonts w:ascii="Times New Roman" w:hAnsi="Times New Roman" w:cs="Times New Roman"/>
          <w:sz w:val="24"/>
          <w:szCs w:val="24"/>
        </w:rPr>
      </w:pPr>
    </w:p>
    <w:p w14:paraId="493A24DC" w14:textId="77777777" w:rsidR="00DE05FF" w:rsidRDefault="00DE05FF" w:rsidP="00DE05FF">
      <w:pPr>
        <w:spacing w:line="480" w:lineRule="auto"/>
        <w:ind w:firstLine="720"/>
        <w:rPr>
          <w:rFonts w:ascii="Times New Roman" w:hAnsi="Times New Roman" w:cs="Times New Roman"/>
          <w:sz w:val="24"/>
          <w:szCs w:val="24"/>
        </w:rPr>
      </w:pPr>
    </w:p>
    <w:p w14:paraId="028F3D56" w14:textId="77777777" w:rsidR="00CE2DD2" w:rsidRDefault="00CE2DD2" w:rsidP="00CE2DD2">
      <w:pPr>
        <w:spacing w:line="480" w:lineRule="auto"/>
        <w:rPr>
          <w:rFonts w:ascii="Times New Roman" w:hAnsi="Times New Roman" w:cs="Times New Roman"/>
          <w:sz w:val="24"/>
          <w:szCs w:val="24"/>
        </w:rPr>
      </w:pPr>
    </w:p>
    <w:p w14:paraId="4C30B527" w14:textId="77777777" w:rsidR="00DE05FF" w:rsidRDefault="00507E84" w:rsidP="00DE05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3A279C2" w14:textId="77777777" w:rsidR="00CE2DD2" w:rsidRDefault="00507E84" w:rsidP="00717B32">
      <w:pPr>
        <w:spacing w:line="480" w:lineRule="auto"/>
        <w:ind w:left="720" w:hanging="720"/>
        <w:rPr>
          <w:rFonts w:ascii="Times New Roman" w:hAnsi="Times New Roman" w:cs="Times New Roman"/>
          <w:sz w:val="24"/>
          <w:szCs w:val="24"/>
        </w:rPr>
      </w:pPr>
      <w:r w:rsidRPr="00DE05FF">
        <w:rPr>
          <w:rFonts w:ascii="Times New Roman" w:hAnsi="Times New Roman" w:cs="Times New Roman"/>
          <w:sz w:val="24"/>
          <w:szCs w:val="24"/>
        </w:rPr>
        <w:t>Cannon, A. A., &amp; Caldwell, H. (2016). HIPAA violations among nursing students: teachable moment or terminal mistake—a case study. </w:t>
      </w:r>
      <w:r w:rsidRPr="00DE05FF">
        <w:rPr>
          <w:rFonts w:ascii="Times New Roman" w:hAnsi="Times New Roman" w:cs="Times New Roman"/>
          <w:i/>
          <w:iCs/>
          <w:sz w:val="24"/>
          <w:szCs w:val="24"/>
        </w:rPr>
        <w:t>J Nurs Educ Pract</w:t>
      </w:r>
      <w:r w:rsidRPr="00DE05FF">
        <w:rPr>
          <w:rFonts w:ascii="Times New Roman" w:hAnsi="Times New Roman" w:cs="Times New Roman"/>
          <w:sz w:val="24"/>
          <w:szCs w:val="24"/>
        </w:rPr>
        <w:t>, </w:t>
      </w:r>
      <w:r w:rsidRPr="00DE05FF">
        <w:rPr>
          <w:rFonts w:ascii="Times New Roman" w:hAnsi="Times New Roman" w:cs="Times New Roman"/>
          <w:i/>
          <w:iCs/>
          <w:sz w:val="24"/>
          <w:szCs w:val="24"/>
        </w:rPr>
        <w:t>6</w:t>
      </w:r>
      <w:r w:rsidRPr="00DE05FF">
        <w:rPr>
          <w:rFonts w:ascii="Times New Roman" w:hAnsi="Times New Roman" w:cs="Times New Roman"/>
          <w:sz w:val="24"/>
          <w:szCs w:val="24"/>
        </w:rPr>
        <w:t>(12), 41-48.</w:t>
      </w:r>
    </w:p>
    <w:p w14:paraId="0B25B0C4" w14:textId="77777777" w:rsidR="00CE2DD2" w:rsidRDefault="00507E84" w:rsidP="00717B32">
      <w:pPr>
        <w:spacing w:line="480" w:lineRule="auto"/>
        <w:ind w:left="720" w:hanging="720"/>
        <w:rPr>
          <w:rFonts w:ascii="Times New Roman" w:hAnsi="Times New Roman" w:cs="Times New Roman"/>
          <w:sz w:val="24"/>
          <w:szCs w:val="24"/>
        </w:rPr>
      </w:pPr>
      <w:r w:rsidRPr="008F68B1">
        <w:rPr>
          <w:rFonts w:ascii="Times New Roman" w:hAnsi="Times New Roman" w:cs="Times New Roman"/>
          <w:sz w:val="24"/>
          <w:szCs w:val="24"/>
        </w:rPr>
        <w:t>Keochinda, K. (2017). </w:t>
      </w:r>
      <w:r w:rsidRPr="008F68B1">
        <w:rPr>
          <w:rFonts w:ascii="Times New Roman" w:hAnsi="Times New Roman" w:cs="Times New Roman"/>
          <w:i/>
          <w:iCs/>
          <w:sz w:val="24"/>
          <w:szCs w:val="24"/>
        </w:rPr>
        <w:t>The Cloud and HIPAA Omnibus Rule</w:t>
      </w:r>
      <w:r w:rsidRPr="008F68B1">
        <w:rPr>
          <w:rFonts w:ascii="Times New Roman" w:hAnsi="Times New Roman" w:cs="Times New Roman"/>
          <w:sz w:val="24"/>
          <w:szCs w:val="24"/>
        </w:rPr>
        <w:t> (Doctoral dissertation, Utica College).</w:t>
      </w:r>
    </w:p>
    <w:p w14:paraId="3FFB05E7" w14:textId="77777777" w:rsidR="00CE2DD2" w:rsidRDefault="00507E84" w:rsidP="00717B32">
      <w:pPr>
        <w:spacing w:line="480" w:lineRule="auto"/>
        <w:ind w:left="720" w:hanging="720"/>
        <w:rPr>
          <w:rFonts w:ascii="Times New Roman" w:hAnsi="Times New Roman" w:cs="Times New Roman"/>
          <w:sz w:val="24"/>
          <w:szCs w:val="24"/>
        </w:rPr>
      </w:pPr>
      <w:r w:rsidRPr="00DE05FF">
        <w:rPr>
          <w:rFonts w:ascii="Times New Roman" w:hAnsi="Times New Roman" w:cs="Times New Roman"/>
          <w:sz w:val="24"/>
          <w:szCs w:val="24"/>
        </w:rPr>
        <w:t xml:space="preserve">Kruse, C. S., Smith, B., Vanderlinden, H., &amp; Nealand, A. (2017). Security techniques for electronic health records. </w:t>
      </w:r>
      <w:r w:rsidRPr="00DE05FF">
        <w:rPr>
          <w:rFonts w:ascii="Times New Roman" w:hAnsi="Times New Roman" w:cs="Times New Roman"/>
          <w:i/>
          <w:iCs/>
          <w:sz w:val="24"/>
          <w:szCs w:val="24"/>
        </w:rPr>
        <w:t>Journal of medical systems</w:t>
      </w:r>
      <w:r w:rsidRPr="00DE05FF">
        <w:rPr>
          <w:rFonts w:ascii="Times New Roman" w:hAnsi="Times New Roman" w:cs="Times New Roman"/>
          <w:sz w:val="24"/>
          <w:szCs w:val="24"/>
        </w:rPr>
        <w:t>, </w:t>
      </w:r>
      <w:r w:rsidRPr="00DE05FF">
        <w:rPr>
          <w:rFonts w:ascii="Times New Roman" w:hAnsi="Times New Roman" w:cs="Times New Roman"/>
          <w:i/>
          <w:iCs/>
          <w:sz w:val="24"/>
          <w:szCs w:val="24"/>
        </w:rPr>
        <w:t>41</w:t>
      </w:r>
      <w:r w:rsidRPr="00DE05FF">
        <w:rPr>
          <w:rFonts w:ascii="Times New Roman" w:hAnsi="Times New Roman" w:cs="Times New Roman"/>
          <w:sz w:val="24"/>
          <w:szCs w:val="24"/>
        </w:rPr>
        <w:t>(8), 127.</w:t>
      </w:r>
    </w:p>
    <w:p w14:paraId="1C1E3953" w14:textId="77777777" w:rsidR="008F68B1" w:rsidRDefault="008F68B1" w:rsidP="00717B32">
      <w:pPr>
        <w:spacing w:line="480" w:lineRule="auto"/>
        <w:ind w:left="720" w:hanging="720"/>
        <w:rPr>
          <w:rFonts w:ascii="Times New Roman" w:hAnsi="Times New Roman" w:cs="Times New Roman"/>
          <w:sz w:val="24"/>
          <w:szCs w:val="24"/>
        </w:rPr>
      </w:pPr>
    </w:p>
    <w:p w14:paraId="4E89E6CA" w14:textId="77777777" w:rsidR="008F68B1" w:rsidRDefault="008F68B1" w:rsidP="00717B32">
      <w:pPr>
        <w:spacing w:line="480" w:lineRule="auto"/>
        <w:ind w:left="720" w:hanging="720"/>
        <w:rPr>
          <w:rFonts w:ascii="Times New Roman" w:hAnsi="Times New Roman" w:cs="Times New Roman"/>
          <w:sz w:val="24"/>
          <w:szCs w:val="24"/>
        </w:rPr>
      </w:pPr>
    </w:p>
    <w:p w14:paraId="1B67B1B8" w14:textId="77777777" w:rsidR="008F68B1" w:rsidRDefault="008F68B1" w:rsidP="00717B32">
      <w:pPr>
        <w:spacing w:line="480" w:lineRule="auto"/>
        <w:ind w:left="720" w:hanging="720"/>
        <w:rPr>
          <w:rFonts w:ascii="Times New Roman" w:hAnsi="Times New Roman" w:cs="Times New Roman"/>
          <w:sz w:val="24"/>
          <w:szCs w:val="24"/>
        </w:rPr>
      </w:pPr>
    </w:p>
    <w:p w14:paraId="7419AD9E" w14:textId="77777777" w:rsidR="008F68B1" w:rsidRDefault="008F68B1" w:rsidP="00717B32">
      <w:pPr>
        <w:spacing w:line="480" w:lineRule="auto"/>
        <w:ind w:left="720" w:hanging="720"/>
        <w:rPr>
          <w:rFonts w:ascii="Times New Roman" w:hAnsi="Times New Roman" w:cs="Times New Roman"/>
          <w:sz w:val="24"/>
          <w:szCs w:val="24"/>
        </w:rPr>
      </w:pPr>
    </w:p>
    <w:p w14:paraId="18267512" w14:textId="77777777" w:rsidR="00717B32" w:rsidRDefault="00717B32" w:rsidP="00717B32">
      <w:pPr>
        <w:spacing w:line="480" w:lineRule="auto"/>
        <w:ind w:left="720" w:hanging="720"/>
        <w:rPr>
          <w:rFonts w:ascii="Times New Roman" w:hAnsi="Times New Roman" w:cs="Times New Roman"/>
          <w:sz w:val="24"/>
          <w:szCs w:val="24"/>
        </w:rPr>
      </w:pPr>
    </w:p>
    <w:sectPr w:rsidR="00717B32" w:rsidSect="00DE05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D573B" w14:textId="77777777" w:rsidR="00D528C8" w:rsidRDefault="00D528C8">
      <w:pPr>
        <w:spacing w:after="0" w:line="240" w:lineRule="auto"/>
      </w:pPr>
      <w:r>
        <w:separator/>
      </w:r>
    </w:p>
  </w:endnote>
  <w:endnote w:type="continuationSeparator" w:id="0">
    <w:p w14:paraId="29EE70BD" w14:textId="77777777" w:rsidR="00D528C8" w:rsidRDefault="00D52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069D5" w14:textId="77777777" w:rsidR="00D528C8" w:rsidRDefault="00D528C8">
      <w:pPr>
        <w:spacing w:after="0" w:line="240" w:lineRule="auto"/>
      </w:pPr>
      <w:r>
        <w:separator/>
      </w:r>
    </w:p>
  </w:footnote>
  <w:footnote w:type="continuationSeparator" w:id="0">
    <w:p w14:paraId="788882AC" w14:textId="77777777" w:rsidR="00D528C8" w:rsidRDefault="00D528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848074"/>
      <w:docPartObj>
        <w:docPartGallery w:val="Page Numbers (Top of Page)"/>
        <w:docPartUnique/>
      </w:docPartObj>
    </w:sdtPr>
    <w:sdtEndPr>
      <w:rPr>
        <w:noProof/>
      </w:rPr>
    </w:sdtEndPr>
    <w:sdtContent>
      <w:p w14:paraId="1A39FF18" w14:textId="075691BD" w:rsidR="00DE05FF" w:rsidRDefault="00507E84">
        <w:pPr>
          <w:pStyle w:val="Header"/>
          <w:jc w:val="right"/>
        </w:pPr>
        <w:r>
          <w:fldChar w:fldCharType="begin"/>
        </w:r>
        <w:r>
          <w:instrText xml:space="preserve"> PAGE   \* MERGEFORMAT </w:instrText>
        </w:r>
        <w:r>
          <w:fldChar w:fldCharType="separate"/>
        </w:r>
        <w:r w:rsidR="003C46DB">
          <w:rPr>
            <w:noProof/>
          </w:rPr>
          <w:t>2</w:t>
        </w:r>
        <w:r>
          <w:rPr>
            <w:noProof/>
          </w:rPr>
          <w:fldChar w:fldCharType="end"/>
        </w:r>
      </w:p>
    </w:sdtContent>
  </w:sdt>
  <w:p w14:paraId="3DFC0500" w14:textId="77777777" w:rsidR="00DE05FF" w:rsidRPr="007160DB" w:rsidRDefault="00507E84">
    <w:pPr>
      <w:pStyle w:val="Header"/>
      <w:rPr>
        <w:rFonts w:ascii="Times New Roman" w:hAnsi="Times New Roman" w:cs="Times New Roman"/>
        <w:sz w:val="24"/>
        <w:szCs w:val="24"/>
      </w:rPr>
    </w:pPr>
    <w:r w:rsidRPr="007160DB">
      <w:rPr>
        <w:rFonts w:ascii="Times New Roman" w:hAnsi="Times New Roman" w:cs="Times New Roman"/>
        <w:sz w:val="24"/>
        <w:szCs w:val="24"/>
      </w:rPr>
      <w:t>HIPAA VIOLATIONS.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8573964"/>
      <w:docPartObj>
        <w:docPartGallery w:val="Page Numbers (Top of Page)"/>
        <w:docPartUnique/>
      </w:docPartObj>
    </w:sdtPr>
    <w:sdtEndPr>
      <w:rPr>
        <w:noProof/>
      </w:rPr>
    </w:sdtEndPr>
    <w:sdtContent>
      <w:p w14:paraId="4A93A350" w14:textId="54AFFB87" w:rsidR="00DE05FF" w:rsidRDefault="00507E84">
        <w:pPr>
          <w:pStyle w:val="Header"/>
          <w:jc w:val="right"/>
        </w:pPr>
        <w:r>
          <w:fldChar w:fldCharType="begin"/>
        </w:r>
        <w:r>
          <w:instrText xml:space="preserve"> PAGE   \* MERGEFORMAT </w:instrText>
        </w:r>
        <w:r>
          <w:fldChar w:fldCharType="separate"/>
        </w:r>
        <w:r w:rsidR="003C46DB">
          <w:rPr>
            <w:noProof/>
          </w:rPr>
          <w:t>1</w:t>
        </w:r>
        <w:r>
          <w:rPr>
            <w:noProof/>
          </w:rPr>
          <w:fldChar w:fldCharType="end"/>
        </w:r>
      </w:p>
    </w:sdtContent>
  </w:sdt>
  <w:p w14:paraId="1CED2296" w14:textId="77777777" w:rsidR="00DE05FF" w:rsidRPr="007160DB" w:rsidRDefault="00507E84">
    <w:pPr>
      <w:pStyle w:val="Header"/>
      <w:rPr>
        <w:rFonts w:ascii="Times New Roman" w:hAnsi="Times New Roman" w:cs="Times New Roman"/>
        <w:sz w:val="24"/>
        <w:szCs w:val="24"/>
      </w:rPr>
    </w:pPr>
    <w:r w:rsidRPr="007160DB">
      <w:rPr>
        <w:rFonts w:ascii="Times New Roman" w:hAnsi="Times New Roman" w:cs="Times New Roman"/>
        <w:sz w:val="24"/>
        <w:szCs w:val="24"/>
      </w:rPr>
      <w:t>Running Head: HIPAA VIOLATIONS.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FA3"/>
    <w:rsid w:val="000541F5"/>
    <w:rsid w:val="000D15EF"/>
    <w:rsid w:val="001472CD"/>
    <w:rsid w:val="00182160"/>
    <w:rsid w:val="00281836"/>
    <w:rsid w:val="002C002D"/>
    <w:rsid w:val="002C4881"/>
    <w:rsid w:val="002D6FA3"/>
    <w:rsid w:val="00365AE6"/>
    <w:rsid w:val="003C46DB"/>
    <w:rsid w:val="004807A9"/>
    <w:rsid w:val="00507E84"/>
    <w:rsid w:val="00543C8D"/>
    <w:rsid w:val="005A46C9"/>
    <w:rsid w:val="005A64B2"/>
    <w:rsid w:val="006B64FA"/>
    <w:rsid w:val="006E0A1B"/>
    <w:rsid w:val="007160DB"/>
    <w:rsid w:val="00717B32"/>
    <w:rsid w:val="007F2C49"/>
    <w:rsid w:val="008F68B1"/>
    <w:rsid w:val="00944605"/>
    <w:rsid w:val="00977389"/>
    <w:rsid w:val="009843C4"/>
    <w:rsid w:val="009B7678"/>
    <w:rsid w:val="00A12092"/>
    <w:rsid w:val="00A247B5"/>
    <w:rsid w:val="00B23F29"/>
    <w:rsid w:val="00C76908"/>
    <w:rsid w:val="00CD7F64"/>
    <w:rsid w:val="00CE2DD2"/>
    <w:rsid w:val="00D528C8"/>
    <w:rsid w:val="00DE05FF"/>
    <w:rsid w:val="00E01A9E"/>
    <w:rsid w:val="00E403EB"/>
    <w:rsid w:val="00E77807"/>
    <w:rsid w:val="00ED5B6D"/>
    <w:rsid w:val="00EE1368"/>
    <w:rsid w:val="00EE6BE1"/>
    <w:rsid w:val="00F5282D"/>
    <w:rsid w:val="00FE5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A4452"/>
  <w15:docId w15:val="{0698F3F0-3FDD-40DA-A56E-45830515E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5FF"/>
  </w:style>
  <w:style w:type="paragraph" w:styleId="Footer">
    <w:name w:val="footer"/>
    <w:basedOn w:val="Normal"/>
    <w:link w:val="FooterChar"/>
    <w:uiPriority w:val="99"/>
    <w:unhideWhenUsed/>
    <w:rsid w:val="00DE0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2020-10-02T17:47:00Z</dcterms:created>
  <dcterms:modified xsi:type="dcterms:W3CDTF">2020-10-02T17:47:00Z</dcterms:modified>
</cp:coreProperties>
</file>